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435</w:t>
      </w:r>
    </w:p>
    <w:p>
      <w:r>
        <w:t>Bundesgericht (BGE), 2000-12-27, DE</w:t>
      </w:r>
    </w:p>
    <w:p>
      <w:r>
        <w:rPr>
          <w:b/>
        </w:rPr>
        <w:t xml:space="preserve">Quelle: </w:t>
      </w:r>
      <w:r>
        <w:t>https://mcp.opencaselaw.ch/entscheid/bge_126 V 435</w:t>
      </w:r>
    </w:p>
    <w:p>
      <w:r>
        <w:t>FR: ATF 126 V 435</w:t>
      </w:r>
    </w:p>
    <w:p>
      <w:r>
        <w:t>IT: DTF 126 V 435</w:t>
      </w:r>
    </w:p>
    <w:p>
      <w:pPr>
        <w:pStyle w:val="Heading2"/>
      </w:pPr>
      <w:r>
        <w:t>Regeste</w:t>
      </w:r>
    </w:p>
    <w:p>
      <w:r>
        <w:t>Regeste Art. 29septies Abs. 1 AHVG: Betreuungsgutschriften. Versicherte, welche Personen betreuen, die - gemäss deutschem Gesetzestext - Anspruch auf eine Hilflosenentschädigung der AHV oder der IV für mindestens mittlere Hilflosigkeit haben, haben ein Recht auf Anrechnung einer Betreuungsgutschrift, falls sie auch die übrigen Voraussetzungen erfüllen. Nicht notwendig ist, dass die betreuten Personen die Hilflosenentschädigung tatsächlich beziehen, wie dies in der französischen und italienischen Fassung des Gesetzes verlangt wird.</w:t>
      </w:r>
    </w:p>
    <w:p>
      <w:pPr>
        <w:pStyle w:val="Heading2"/>
      </w:pPr>
      <w:r>
        <w:t>Erwägungen</w:t>
      </w:r>
    </w:p>
    <w:p>
      <w:r>
        <w:rPr>
          <w:b/>
        </w:rPr>
        <w:t>E. 1</w:t>
      </w:r>
    </w:p>
    <w:p>
      <w:r>
        <w:t>a) Gemäss dem mit der 10. AHV-Revision am 1. Januar 1997 in Kraft getretenen Art. 29septies Abs. 1 AHVG haben Versicherte, welche im gemeinsamen Haushalt Verwandte in auf- oder absteigender Linie oder Geschwister mit einem Anspruch auf eine Hilflosenentschädigung der AHV oder IV für mindestens mittlere Hilflosigkeit betreuen, Anspruch auf Anrechnung einer Betreuungsgutschrift (Satz 1). Sie müssen diesen Anspruch jährlich schriftlich anmelden (Satz 2). Verwandten sind Ehegatten, Schwiegereltern und Stiefkinder gleichgestellt (Satz 3). b) Wird der Anspruch auf Betreuungsgutschrift nicht innert fünf Jahren nach Ablauf des Kalenderjahres angemeldet, in welchem eine Person betreut wurde, so wird die Gutschrift für das betreffende Jahr nicht mehr im individuellen Konto vermerkt ( Art. 29septies Abs. 5 AHVG ). BGE 126 V 435 S. 437 Nach Art. 52k in Verbindung mit Art. 52f Abs. 1 AHVV werden während des Jahres, in dem der Anspruch entsteht, keine Betreuungsgutschriften angerechnet.</w:t>
      </w:r>
    </w:p>
    <w:p>
      <w:r>
        <w:rPr>
          <w:b/>
        </w:rPr>
        <w:t>E. 2</w:t>
      </w:r>
    </w:p>
    <w:p>
      <w:r>
        <w:t>a) Streitig und zu prüfen ist, ob die Beschwerdeführerin Anspruch auf Anrechnung von Betreuungsgutschriften für das Jahr 1997 hat. Dabei ist zu beachten, dass die IV-Stelle der Mutter der Versicherten mit während der Dauer des letztinstanzlichen Verfahrens ergangener Verfügung vom 18. Mai 1999 rückwirkend eine Hilflosenentschädigung für Hilflosigkeit mittleren Grades zugesprochen und festgestellt hat, der Anspruch auf Hilflosenentschädigung für Hilflosigkeit mittleren Grades sei mehrere Jahre vor der Anmeldung entstanden, denn die Mutter der Versicherten sei seit Jahren in fünf alltäglichen Lebensverrichtungen in erheblicher Weise auf die Hilfe Dritter angewiesen gewesen. Demzufolge konnte die Hilflosenentschädigung wegen verspäteter Anmeldung nur für die Zeit vom 1. November 1997 bis 28. Februar 1998 ausgerichtet werden. b) Die Ausgleichskasse vertritt mit Blick auf den Umstand, dass der Mutter der Versicherten lediglich für die Zeit ab 1. November 1997 Hilflosenentschädigung ausbezahlt worden ist, die Ansicht, der Anspruch auf Anrechnung von Betreuungsgutschriften sei ebenfalls erst im Jahr 1997 entstanden. Da das Jahr der Entstehung des Anspruchs nicht berücksichtigt werde, könne für das Jahr 1997 keine Betreuungsgutschrift gewährt werden. Demgegenüber macht das BSV geltend, dass eine Hilflosenentschädigung wegen verspäteter Anmeldung erst zu einem späteren Zeitpunkt zur Auszahlung gelange, vereitle die Anwendung von Art. 29septies Abs. 1 AHVG nicht. Für die Gewährung der Betreuungsgutschriften sei nicht in erster Linie massgebend, ob und wann der Anspruch auf eine Hilflosenentschädigung geltend gemacht worden sei. Im Vordergrund stehe vielmehr das Vorhandensein eines Pflegeverhältnisses und einer Pflegebedürftigkeit, weshalb vorliegend für das Jahr 1997 eine Betreuungsgutschrift anzurechnen sei. c) Die Beschwerdegegnerin verkennt, dass der Zeitpunkt der Entstehung des Anspruchs auf Anrechnung von Betreuungsgutschriften nicht mit dem Beginn der Leistung von Hilflosenentschädigung an die betreute Person zusammenfallen muss. Es stellt sich indessen die Frage, ob der Umstand, dass die der Mutter der Beschwerdeführerin zustehende Hilflosenentschädigung erst ab 1. November 1997 ausgerichtet wurde, der Anrechenbarkeit einer Betreuungsgutschrift für das Jahr 1997 entgegensteht. BGE 126 V 435 S. 438</w:t>
      </w:r>
    </w:p>
    <w:p>
      <w:r>
        <w:rPr>
          <w:b/>
        </w:rPr>
        <w:t>E. 3</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125 II 196 Erw. 3a, 244 Erw. 5a, BGE 125 V 130 Erw. 5, 180 Erw. 2a, je mit Hinweisen). Im Rahmen verfassungskonformer oder verfassungsbezogener Auslegung ist sodann, soweit mit den erwähnten normunmittelbaren Auslegungselementen vereinbar, rechtsprechungsgemäss der Gleichbehandlungsgrundsatz zu beachten, wobei der klare Sinn einer Gesetzesnorm nicht durch eine verfassungskonforme Auslegung beiseite geschoben werden darf ( BGE 126 V 97 Erw. 4b, BGE 121 V 352 Erw. 5, BGE 119 V 130 Erw. 5b, je mit Hinweisen). Begründet wird die verfassungskonforme Auslegung hauptsächlich mit der Einheit der Rechtsordnung und der Überordnung der Verfassung (ULRICH HÄFELIN, Die verfassungskonforme Auslegung und ihre Grenzen, in: Recht und Prozess als Gefüge, Festschrift für Hans Huber zum 80. Geburtstag, Bern 1981, S. 241-259, insbes. S. 242). Da die neue Bundesverfassung am Stufenbau der landesinternen Rechtsordnung grundsätzlich nichts geändert hat (GEORG MÜLLER, Formen der Rechtssetzung, in: ULRICH ZIMMERLI [Hrsg.], Die neue Bundesverfassung, Konsequenzen für Praxis und Wissenschaft, Berner Tage für die juristische Praxis [BTJP] 1999, Bern 2000, S. 249-266, insbes. S. 250; vgl. auch Art. 182 Abs. 1 BV ), sind die Normen auch unter Geltung der neuen Bundesverfassung so auszulegen, dass sie mit deren Grundwerten übereinstimmen ( BGE 126 V 97 Erw. 4b). a) Dem Wortlaut des deutschen Art. 29septies Abs. 1 Satz 1 AHVG nach muss die betreute Person Anspruch auf eine Hilflosenentschädigung der Alters- und Hinterlassenen- oder der Invalidenversicherung für mindestens mittlere Hilflosigkeit haben. Dass sie die Hilflosenentschädigung auch tatsächlich beziehen muss, damit der versicherten Person Betreuungsgutschriften gewährt werden können, ergibt sich jedoch nicht aus dem Gesetzestext. Mit Blick darauf, dass BGE 126 V 435 S. 439 bei der grammatikalischen Auslegung von der grundsätzlichen Gleichwertigkeit der drei Amtssprachen auszugehen ist (Art. 9 Abs. 1 des Bundesgesetzes vom 21. März 1986 über die Gesetzessammlungen und das Bundesblatt; SR 170.512) und dass diesem Auslegungselement nur untergeordnete Bedeutung zukommt, wenn die drei verschiedenen sprachlichen Versionen nicht vollständig übereinstimmen oder sich gar widersprechen ( BGE 119 V 127 Erw. 4a mit Hinweis), ist zu prüfen, wie es sich mit der französischen und der italienischen Fassung verhält. Die französische Version lautet: "Les assurés qui prennent en charge des parents de ligne ascendante ou descendante ainsi que des frères et soeurs au bénéfice d'une allocation de l'AVS ou de l'AI pour impotent de degré moyen au moins et avec lesquels ils font ménage commun, peuvent prétendre à une bonification pour tâches d'assistance." Nach dem italienischen Wortlaut werden Versicherten "(...) che si occupano di parenti di linea ascendente o discendente nonché di fratelli e sorelle che beneficiano di un assegno dell'AVS o dell'AI per grandi invalidi, con un'invalidità almeno di grado medio, e che vivono in comunione domestica con essi (...)" Betreuungsgutschriften gewährt. Die französische wie die italienische Fassung gehen somit, entgegen dem deutschen Text, davon aus, dass die betreute Person die Hilflosenentschädigung tatsächlich empfangen muss, damit der versicherten Person Betreuungsgutschriften angerechnet werden können. b) Zu prüfen ist des Weiteren, ob die Materialien zuverlässigen Aufschluss über die Auslegung des Art. 29septies Abs. 1 Satz 1 AHVG geben. Nach ständiger Rechtsprechung stellen sie, gerade bei jüngeren Gesetzen, ein wichtiges Erkenntnismittel dar, von dem im Rahmen der Auslegung stets Gebrauch zu machen ist ( BGE 125 V 131 Erw. 5 in fine mit Hinweisen). Sie können namentlich dann, wenn eine Bestimmung unklar ist oder verschiedene, einander widersprechende Auslegungen zulässt, ein wertvolles Hilfsmittel sein, um den Sinn der Norm zu erkennen und damit falsche Auslegungen zu vermeiden. Nach gefestigter Rechtsprechung sind sie aber für sich allein nicht geeignet, direkt auf den Rechtssinn einer Gesetzesbestimmung schliessen zu lassen, weil das Gesetz sich mit seinem Erlass von seinen Schöpfern löst und ein eigenständiges rechtliches Dasein entfaltet ( BGE 124 V 189 Erw. 3a). Schliesslich sind die Materialien als Auslegungshilfe nicht dienlich, wo sie keine klare Antwort geben ( BGE 124 V 190 Erw. 3a mit Hinweisen). In der bundesrätlichen Botschaft über die zehnte Revision der Alters- und Hinterlassenenversicherung vom 5. März 1990 (BBl BGE 126 V 435 S. 440 1990 II 1 ff.) war das Institut der Betreuungsgutschriften noch nicht vorgesehen. Erst im Verlaufe der parlamentarischen Beratung wurde es gestützt auf die Vorarbeiten der Kommission des Nationalrates als Bestandteil des neuen, grundsätzlich zivilstands- und geschlechtsunabhängigen Individual-Rentensystems mit Beitragssplitting aufgenommen (Amtl.Bull. 1993 N 207 ff.). Zur Vermeidung von Abgrenzungsschwierigkeiten und aufwändigen Abklärungen legte man Wert auf die Schaffung präziser Anspruchsvoraussetzungen und fand diese in der "Begrenzung des Personenkreises auf enge Verwandte und den zusätzlichen Anspruchsvoraussetzungen Hilflosenentschädigung mittleren Grades und Hausgemeinschaft" (Amtl.Bull. 1993 N 215, vgl. auch 233 und 256; Amtl.Bull. 1994 S 550 und 560). Diesen Absichten trägt bereits die deutsche Fassung des Art. 29septies Abs. 1 Satz 1 AHVG (vgl. Erw. 1 hievor) Rechnung. Eine zusätzliche Abgrenzung oder eine Verminderung des Abklärungsaufwandes wird durch die französische und die italienische Version (Erw. 3a hievor) nicht erreicht. Die Abweichung der deutschen von der französischen und der italienischen Fassung des Art. 29septies Abs. 1 Satz 1 AHVG wurde nicht erst in der Differenzbereinigung geschaffen, sondern bestand bereits in der ersten Version des Gesetzesartikels (vgl. die deutsche und französische Formulierung des von der Nationalratskommission beantragten Textes: Amtl.Bull. 1993 N 255 f.). Aus den Materialien ergeben sich keine Hinweise darauf, welche Aussage ursprünglich beabsichtigt war, noch lässt sich der Grund der unterschiedlichen Formulierung feststellen, weshalb anzunehmen ist, dass sie aus einer Ungenauigkeit in der Übersetzung entstanden ist. c) Die in Art. 29septies AHVG statuierten Betreuungsgutschriften werden auf Gesetzesstufe nicht näher konkretisiert. Die Verordnung enthält eine Umschreibung des Erfordernisses des gemeinsamen Haushaltes ( Art. 52g AHVV ) sowie eine Sonderbestimmung für versicherte Personen, welche Minderjährige pflegen ( Art. 52h AHVV ); ausserdem regelt sie die Aufteilung der Betreuungsgutschrift in Fällen, in denen mehrere Personen die Voraussetzungen für eine Anrechnung erfüllen ( Art. 52i AHVV ), sowie deren Festsetzung (Art. 52k in Verbindung mit Art. 52f AHVV ) und Anmeldung ( Art. 52l AHVV ). Für die vorliegend umstrittene Frage liefert die Systematik keine Aufschlüsse. d) Sinn und Zweck von Art. 29septies AHVG besteht darin, die Betreuung pflegebedürftiger Angehöriger, die regelmässig zu einer Beeinträchtigung der Erwerbsmöglichkeiten führt, als fiktives BGE 126 V 435 S. 441 Einkommen bei der Rentenberechnung zu berücksichtigen und damit zu verhindern, dass die unentgeltliche Verrichtung von Betreuungsarbeit für nahe Angehörige den individuellen Rentenanspruch schmälert (Amtl.Bull. 1993 N 209; THOMAS LOCHER, Grundriss des Sozialversicherungsrechts, 2. Aufl., Bern 1997, § 36 N 34 f.). Die Anrechnung von Betreuungsgutschriften ist für die Pflege von Personen vorgesehen, die für die alltäglichen Lebensverrichtungen so sehr der Hilfe Dritter oder der persönlichen Überwachung bedürfen, dass bei ihnen die Anspruchsvoraussetzungen für eine Hilflosenentschädigung der Alters- und Hinterlassenen- oder der Invalidenversicherung gegeben sind. Mit dem Erfordernis der Hilflosigkeit mittleren Grades der betreuten Person wird das Vorliegen eines Mindestmasses an Pflegebedürftigkeit sowie gleichzeitig eines Mindestmasses an zeitlichem Pflegeaufwand sichergestellt. Steht der Anspruch der betreuten Person auf Hilflosenentschädigung für Hilflosigkeit mindestens mittleren Grades fest, sind diese Voraussetzungen erfüllt. Keine Rolle spielt dabei, ob die Hilflosenentschädigung tatsächlich bezogen wird.</w:t>
      </w:r>
    </w:p>
    <w:p>
      <w:r>
        <w:rPr>
          <w:b/>
        </w:rPr>
        <w:t>E. 4</w:t>
      </w:r>
    </w:p>
    <w:p>
      <w:r>
        <w:t>a) Aus dem Gesagten ergibt sich, dass die Materialien sowie der Sinn und Zweck der Bestimmung die auf dem deutschen Wortlaut des Art. 29septies Abs. 1 Satz 1 AHVG basierende Auslegung stützen, wonach der Anspruch auf Hilflosenentschädigung für mindestens mittlere Hilflosigkeit für die Anrechenbarkeit von Betreuungsgutschriften genügt und der Bezug der Hilflosenentschädigung nicht vorausgesetzt wird. Dieses Auslegungsergebnis wird durch die Grundsätze der verfassungskonformen oder verfassungsbezogenen Auslegung bestätigt, da das Abstellen auf die französische oder italienische Fassung der Norm zu einer sachlich nicht gerechtfertigten Ungleichbehandlung zwischen den Versicherten, welche eine Person betreuen, die zwar einen Anspruch auf eine Hilflosenentschädigung für Hilflosigkeit mittleren Grades hat, die Hilflosenentschädigung aber nicht bezieht, und denjenigen, welche eine Person betreuen, die in den Genuss einer Hilflosenentschädigung für Hilflosigkeit mindestens mittleren Grades kommen, führen würde. Denn Pflegebedürftigkeit und Pflegeaufwand sind in beiden Fällen gleich gross. b) Dem BSV kann somit insoweit beigepflichtet werden, als es die Anrechnung von Betreuungsgutschriften auch in Fällen als zulässig erachtet, in denen die betreute Person die Hilflosenentschädigung wegen verspäteter Anmeldung nicht oder erst zu einem späteren Zeitpunkt beziehen kann. Im zu beurteilenden Fall BGE 126 V 435 S. 442 ist den Anforderungen an den Nachweis der grossen Pflegebedürftigkeit der betreuten Person mittels der in einem Verwaltungsverfahren - rechtskräftig - festgestellten langjährigen Hilflosigkeit der von der Beschwerdeführerin betreuten Mutter zweifellos Genüge getan, zumal die Ausgleichskasse gegen das Abklärungsergebnis der IV-Stelle zur Hilflosigkeit keine Einwendungen erhebt. Deshalb kann im vorliegenden Prozess offen bleiben, ob der Anspruch auf Hilflosenentschädigung mindestens mittleren Grades notwendigerweise in dieser Form von der jeweils zuständigen Verwaltungsbehörde festgestellt worden sein muss, damit die Anspruchsvoraussetzungen des Art. 29septies Abs. 1 AHVG als erfüllt gelten können.</w:t>
      </w:r>
    </w:p>
    <w:p>
      <w:r>
        <w:rPr>
          <w:b/>
        </w:rPr>
        <w:t>E. 5</w:t>
      </w:r>
    </w:p>
    <w:p>
      <w:r>
        <w:t>Die IV-Stelle hat am 18. Mai 1999 erkannt, dass die am 5. Februar 1998 verstorbene Mutter der Versicherten vor ihrem Tod mehrere Jahre in mittelschwerem Grad hilflos gewesen war. Der Anspruch auf eine Hilflosenentschädigung entsteht am ersten Tag des Monats, in dem sämtliche Voraussetzungen erfüllt sind und die Hilflosigkeit schweren oder mittleren Grades ununterbrochen während mindestens eines Jahres bestanden hat ( Art. 43bis Abs. 2 AHVG ). Es steht fest, dass der Anspruch auf Hilflosenentschädigung bereits vor 1997 entstanden ist und die Hilflosenentschädigung einzig darum erst ab 1. November 1997 ausgerichtet wurde, weil die Anmeldung zum Bezug von Hilflosenentschädigung verspätet erfolgt war ( Art. 46 Abs. 2 AHVG ). Dass diese - unbestrittenen - Tatsachen erst nach der Verfügung der Beschwerdegegnerin vom 20. Oktober 1998 bekannt wurden, steht ihrer Beachtlichkeit im letztinstanzlichen Verfahren nicht entgegen. Wie die Ausgleichskasse zutreffend ausführt, werden während des Jahres, in dem der Anspruch entsteht, keine Betreuungsgutschriften angerechnet (Art. 52k in Verbindung mit Art. 52f Abs. 1 AHVV ; vgl. Erw. 1b hievor). Die Beschwerdeführerin erfüllt allerdings die Voraussetzungen zur Anrechnung von Betreuungsgutschriften nicht erst seit 1997. Sie hat ihre seit längerer Zeit in mittlerem Grad hilflos gewesene Mutter auch schon im Jahr 1996 betreut und die Betreuungsgutschrift für das Jahr 1997 rechtzeitig ( Art. 29septies Abs. 5 AHVG ) angemeldet. Da ihr Anspruch auf die Gewährung von Betreuungsgutschriften somit vor 1997 entstanden ist, hat sie - entsprechend ihrer Anmeldung vom 11. September 1998 - ein Recht auf Anrechnung einer Betreuungsgutschrift für das Jahr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